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E6A" w:rsidRPr="00781229" w:rsidRDefault="00E43E6A" w:rsidP="00E43E6A">
      <w:pPr>
        <w:jc w:val="center"/>
        <w:rPr>
          <w:b/>
          <w:sz w:val="28"/>
          <w:szCs w:val="28"/>
        </w:rPr>
      </w:pPr>
      <w:r w:rsidRPr="00781229">
        <w:rPr>
          <w:b/>
          <w:sz w:val="28"/>
          <w:szCs w:val="28"/>
        </w:rPr>
        <w:t>GIẢI THÍCH BIỂU SỐ 19/BTP/LLTP</w:t>
      </w:r>
    </w:p>
    <w:p w:rsidR="00E43E6A" w:rsidRPr="00781229" w:rsidRDefault="00E43E6A" w:rsidP="00E43E6A">
      <w:pPr>
        <w:jc w:val="center"/>
        <w:rPr>
          <w:b/>
          <w:sz w:val="28"/>
          <w:szCs w:val="28"/>
        </w:rPr>
      </w:pPr>
      <w:r w:rsidRPr="00781229">
        <w:rPr>
          <w:b/>
          <w:sz w:val="28"/>
          <w:szCs w:val="28"/>
        </w:rPr>
        <w:t>Số Phiếu lý lịch tư pháp đã cấp</w:t>
      </w:r>
    </w:p>
    <w:p w:rsidR="00E43E6A" w:rsidRPr="00C00415" w:rsidRDefault="00E43E6A" w:rsidP="00E43E6A">
      <w:pPr>
        <w:spacing w:before="120" w:after="120" w:line="320" w:lineRule="exact"/>
        <w:ind w:firstLine="567"/>
        <w:rPr>
          <w:b/>
          <w:sz w:val="28"/>
          <w:szCs w:val="28"/>
        </w:rPr>
      </w:pPr>
    </w:p>
    <w:p w:rsidR="00E43E6A" w:rsidRDefault="00E43E6A" w:rsidP="00E43E6A">
      <w:pPr>
        <w:spacing w:before="120" w:after="120" w:line="320" w:lineRule="exact"/>
        <w:ind w:firstLine="567"/>
        <w:rPr>
          <w:b/>
          <w:sz w:val="28"/>
          <w:szCs w:val="28"/>
        </w:rPr>
      </w:pPr>
      <w:r w:rsidRPr="00781229">
        <w:rPr>
          <w:b/>
          <w:sz w:val="28"/>
          <w:szCs w:val="28"/>
        </w:rPr>
        <w:t>1. Nội dung</w:t>
      </w:r>
    </w:p>
    <w:p w:rsidR="00E43E6A" w:rsidRPr="004D78D8" w:rsidRDefault="00E43E6A" w:rsidP="00E43E6A">
      <w:pPr>
        <w:spacing w:before="120" w:after="120" w:line="320" w:lineRule="exact"/>
        <w:ind w:firstLine="567"/>
        <w:rPr>
          <w:b/>
          <w:sz w:val="28"/>
          <w:szCs w:val="28"/>
        </w:rPr>
      </w:pPr>
      <w:r>
        <w:rPr>
          <w:sz w:val="28"/>
          <w:szCs w:val="28"/>
        </w:rPr>
        <w:t xml:space="preserve">1.1. Biểu số </w:t>
      </w:r>
      <w:r w:rsidRPr="00781229">
        <w:rPr>
          <w:sz w:val="28"/>
          <w:szCs w:val="28"/>
        </w:rPr>
        <w:t>1</w:t>
      </w:r>
      <w:r w:rsidRPr="00C00415">
        <w:rPr>
          <w:sz w:val="28"/>
          <w:szCs w:val="28"/>
        </w:rPr>
        <w:t>9</w:t>
      </w:r>
      <w:r w:rsidRPr="00781229">
        <w:rPr>
          <w:sz w:val="28"/>
          <w:szCs w:val="28"/>
        </w:rPr>
        <w:t>/BTP/LLTP để thu thập thông tin thống kê về số Phiếu lý lịch tư pháp đã cấp cho cá nhân, tổ chức có yêu cầu</w:t>
      </w:r>
    </w:p>
    <w:p w:rsidR="00E43E6A" w:rsidRPr="004D78D8" w:rsidRDefault="00E43E6A" w:rsidP="00E43E6A">
      <w:pPr>
        <w:pStyle w:val="normal-p"/>
        <w:spacing w:before="120" w:beforeAutospacing="0" w:after="120" w:afterAutospacing="0" w:line="320" w:lineRule="exact"/>
        <w:ind w:firstLine="567"/>
        <w:jc w:val="both"/>
        <w:rPr>
          <w:rStyle w:val="normal-h"/>
          <w:sz w:val="28"/>
          <w:szCs w:val="28"/>
        </w:rPr>
      </w:pPr>
      <w:r>
        <w:rPr>
          <w:rStyle w:val="normal-h"/>
          <w:sz w:val="28"/>
          <w:szCs w:val="28"/>
        </w:rPr>
        <w:t>1.2.</w:t>
      </w:r>
      <w:r w:rsidRPr="00C00415">
        <w:rPr>
          <w:rStyle w:val="normal-h"/>
          <w:sz w:val="28"/>
          <w:szCs w:val="28"/>
          <w:lang w:val="vi-VN"/>
        </w:rPr>
        <w:t xml:space="preserve"> </w:t>
      </w:r>
      <w:r>
        <w:rPr>
          <w:rStyle w:val="normal-h"/>
          <w:sz w:val="28"/>
          <w:szCs w:val="28"/>
        </w:rPr>
        <w:t>Giải thích từ ngữ</w:t>
      </w:r>
    </w:p>
    <w:p w:rsidR="00E43E6A" w:rsidRPr="00C00415" w:rsidRDefault="00E43E6A" w:rsidP="00E43E6A">
      <w:pPr>
        <w:pStyle w:val="normal-p"/>
        <w:spacing w:before="120" w:beforeAutospacing="0" w:after="120" w:afterAutospacing="0" w:line="320" w:lineRule="exact"/>
        <w:ind w:firstLine="567"/>
        <w:jc w:val="both"/>
        <w:rPr>
          <w:sz w:val="28"/>
          <w:szCs w:val="28"/>
          <w:lang w:val="vi-VN"/>
        </w:rPr>
      </w:pPr>
      <w:r w:rsidRPr="004D78D8">
        <w:rPr>
          <w:rStyle w:val="normal-h"/>
          <w:i/>
          <w:sz w:val="28"/>
          <w:szCs w:val="28"/>
        </w:rPr>
        <w:t xml:space="preserve">- </w:t>
      </w:r>
      <w:r w:rsidRPr="004D78D8">
        <w:rPr>
          <w:rStyle w:val="normal-h"/>
          <w:i/>
          <w:sz w:val="28"/>
          <w:szCs w:val="28"/>
          <w:lang w:val="vi-VN"/>
        </w:rPr>
        <w:t>Phiếu lý lịch tư pháp:</w:t>
      </w:r>
      <w:r w:rsidRPr="00C00415">
        <w:rPr>
          <w:rStyle w:val="normal-h"/>
          <w:sz w:val="28"/>
          <w:szCs w:val="28"/>
          <w:lang w:val="vi-VN"/>
        </w:rPr>
        <w:t xml:space="preserve"> Là phiếu do Trung tâm lý lịch tư pháp quốc gia, Sở Tư pháp cấp có giá trị chứng minh cá nhân có hay không có án tích; bị cấm hay không bị cấm đảm nhiệm chức vụ, thành lập, quản lý doanh nghiệp, hợp tác xã trong trường hợp doanh nghiệp, hợp tác xã bị Tòa án tuyên bố phá sản (khoản 4 Điều 2 Luật Lý lịch tư pháp 2009).</w:t>
      </w:r>
    </w:p>
    <w:p w:rsidR="00E43E6A" w:rsidRPr="004D78D8" w:rsidRDefault="00E43E6A" w:rsidP="00E43E6A">
      <w:pPr>
        <w:pStyle w:val="normal-p"/>
        <w:spacing w:before="120" w:beforeAutospacing="0" w:after="120" w:afterAutospacing="0" w:line="320" w:lineRule="exact"/>
        <w:ind w:firstLine="567"/>
        <w:jc w:val="both"/>
        <w:rPr>
          <w:rStyle w:val="normal-h"/>
          <w:i/>
          <w:sz w:val="28"/>
          <w:szCs w:val="28"/>
        </w:rPr>
      </w:pPr>
      <w:r w:rsidRPr="004D78D8">
        <w:rPr>
          <w:i/>
          <w:sz w:val="28"/>
          <w:szCs w:val="28"/>
          <w:lang w:val="vi-VN"/>
        </w:rPr>
        <w:t>- Phiếu lý lịch tư pháp số 1:</w:t>
      </w:r>
      <w:r w:rsidRPr="00C00415">
        <w:rPr>
          <w:sz w:val="28"/>
          <w:szCs w:val="28"/>
          <w:lang w:val="vi-VN"/>
        </w:rPr>
        <w:t xml:space="preserve"> </w:t>
      </w:r>
      <w:r w:rsidRPr="00C00415">
        <w:rPr>
          <w:rStyle w:val="normal-h"/>
          <w:sz w:val="28"/>
          <w:szCs w:val="28"/>
          <w:lang w:val="vi-VN"/>
        </w:rPr>
        <w:t xml:space="preserve"> Là Phiếu lý lịch tư pháp cấp cho cá nhân, cơ quan nhà nước, tổ chức chính trị, tổ chức chính trị xã hội (điểm a khoản 1 Điều 41 Luật Lý lịch tư pháp 2009).</w:t>
      </w:r>
    </w:p>
    <w:p w:rsidR="00E43E6A" w:rsidRPr="00434AE2" w:rsidRDefault="00E43E6A" w:rsidP="00E43E6A">
      <w:pPr>
        <w:pStyle w:val="normal-p"/>
        <w:spacing w:before="120" w:beforeAutospacing="0" w:after="120" w:afterAutospacing="0" w:line="320" w:lineRule="exact"/>
        <w:ind w:firstLine="567"/>
        <w:jc w:val="both"/>
        <w:rPr>
          <w:rStyle w:val="normal-h"/>
          <w:sz w:val="28"/>
          <w:szCs w:val="28"/>
          <w:lang w:val="vi-VN"/>
        </w:rPr>
      </w:pPr>
      <w:r w:rsidRPr="004D78D8">
        <w:rPr>
          <w:rStyle w:val="normal-h"/>
          <w:i/>
          <w:sz w:val="28"/>
          <w:szCs w:val="28"/>
          <w:lang w:val="vi-VN"/>
        </w:rPr>
        <w:t>- Phiếu lý lịch tư pháp số 2:</w:t>
      </w:r>
      <w:r w:rsidRPr="00434AE2">
        <w:rPr>
          <w:rStyle w:val="normal-h"/>
          <w:sz w:val="28"/>
          <w:szCs w:val="28"/>
          <w:lang w:val="vi-VN"/>
        </w:rPr>
        <w:t xml:space="preserve">  Là Phiếu lý lịch tư pháp cấp cho cơ quan tiến hành tố tụng và cấp theo yêu cầu của cá nhân để người đó biết được nội dung về lý lịch tư pháp của mình (điểm b khoản 1 Điều 41 Luật Lý lịch tư pháp 2009).</w:t>
      </w:r>
    </w:p>
    <w:p w:rsidR="00E43E6A" w:rsidRPr="00C00415" w:rsidRDefault="00E43E6A" w:rsidP="00E43E6A">
      <w:pPr>
        <w:pStyle w:val="normal-p"/>
        <w:spacing w:before="120" w:beforeAutospacing="0" w:after="120" w:afterAutospacing="0" w:line="320" w:lineRule="exact"/>
        <w:ind w:firstLine="567"/>
        <w:jc w:val="both"/>
        <w:rPr>
          <w:sz w:val="28"/>
          <w:szCs w:val="28"/>
          <w:lang w:val="vi-VN"/>
        </w:rPr>
      </w:pPr>
      <w:r w:rsidRPr="004D78D8">
        <w:rPr>
          <w:i/>
          <w:sz w:val="28"/>
          <w:szCs w:val="28"/>
          <w:lang w:val="vi-VN"/>
        </w:rPr>
        <w:t>- Công dân Việt Nam:</w:t>
      </w:r>
      <w:r w:rsidRPr="00C00415">
        <w:rPr>
          <w:sz w:val="28"/>
          <w:szCs w:val="28"/>
          <w:lang w:val="vi-VN"/>
        </w:rPr>
        <w:t xml:space="preserve"> Là người có quốc tịch Việt Nam (khoản 1, Điều 5 Luật Quốc tịch Việt Nam 2008) </w:t>
      </w:r>
    </w:p>
    <w:p w:rsidR="00E43E6A" w:rsidRDefault="00E43E6A" w:rsidP="00E43E6A">
      <w:pPr>
        <w:pStyle w:val="normal-p"/>
        <w:spacing w:before="120" w:beforeAutospacing="0" w:after="120" w:afterAutospacing="0" w:line="320" w:lineRule="exact"/>
        <w:ind w:firstLine="567"/>
        <w:jc w:val="both"/>
        <w:rPr>
          <w:sz w:val="28"/>
          <w:szCs w:val="28"/>
        </w:rPr>
      </w:pPr>
      <w:r w:rsidRPr="004D78D8">
        <w:rPr>
          <w:i/>
          <w:sz w:val="28"/>
          <w:szCs w:val="28"/>
          <w:lang w:val="vi-VN"/>
        </w:rPr>
        <w:t>- Người nước ngoài:</w:t>
      </w:r>
      <w:r w:rsidRPr="00C00415">
        <w:rPr>
          <w:sz w:val="28"/>
          <w:szCs w:val="28"/>
          <w:lang w:val="vi-VN"/>
        </w:rPr>
        <w:t xml:space="preserve"> Là người có quốc tịch nước ngoài hoặc người không có quốc tịch. </w:t>
      </w:r>
    </w:p>
    <w:p w:rsidR="00E43E6A" w:rsidRPr="007209C0" w:rsidRDefault="00E43E6A" w:rsidP="00E43E6A">
      <w:pPr>
        <w:pStyle w:val="normal-p"/>
        <w:spacing w:before="120" w:beforeAutospacing="0" w:after="0" w:afterAutospacing="0" w:line="320" w:lineRule="exact"/>
        <w:ind w:firstLine="567"/>
        <w:jc w:val="both"/>
        <w:rPr>
          <w:sz w:val="28"/>
          <w:szCs w:val="28"/>
        </w:rPr>
      </w:pPr>
      <w:r w:rsidRPr="004D78D8">
        <w:rPr>
          <w:i/>
          <w:sz w:val="28"/>
          <w:szCs w:val="28"/>
          <w:lang w:val="vi-VN"/>
        </w:rPr>
        <w:t>- Tổ chức chính trị:</w:t>
      </w:r>
      <w:r>
        <w:rPr>
          <w:sz w:val="28"/>
          <w:szCs w:val="28"/>
          <w:lang w:val="vi-VN"/>
        </w:rPr>
        <w:t xml:space="preserve"> </w:t>
      </w:r>
      <w:r>
        <w:rPr>
          <w:sz w:val="28"/>
          <w:szCs w:val="28"/>
        </w:rPr>
        <w:t>Bao gồm các cơ quan của Đảng Cộng sản Việt Nam tại Trung ương và địa phương.</w:t>
      </w:r>
    </w:p>
    <w:p w:rsidR="00E43E6A" w:rsidRPr="00C00415" w:rsidRDefault="00E43E6A" w:rsidP="00E43E6A">
      <w:pPr>
        <w:pStyle w:val="normal-p"/>
        <w:spacing w:before="120" w:beforeAutospacing="0" w:after="120" w:afterAutospacing="0" w:line="320" w:lineRule="exact"/>
        <w:ind w:firstLine="567"/>
        <w:jc w:val="both"/>
        <w:rPr>
          <w:sz w:val="28"/>
          <w:szCs w:val="28"/>
          <w:lang w:val="vi-VN"/>
        </w:rPr>
      </w:pPr>
      <w:r w:rsidRPr="004D78D8">
        <w:rPr>
          <w:i/>
          <w:sz w:val="28"/>
          <w:szCs w:val="28"/>
          <w:lang w:val="vi-VN"/>
        </w:rPr>
        <w:t>- Tổ chức chính trị xã hội:</w:t>
      </w:r>
      <w:r w:rsidRPr="00C00415">
        <w:rPr>
          <w:sz w:val="28"/>
          <w:szCs w:val="28"/>
          <w:lang w:val="vi-VN"/>
        </w:rPr>
        <w:t xml:space="preserve"> Bao gồm Mặt trận Tổ quốc Việt Nam</w:t>
      </w:r>
      <w:r>
        <w:rPr>
          <w:sz w:val="28"/>
          <w:szCs w:val="28"/>
          <w:lang w:val="vi-VN"/>
        </w:rPr>
        <w:t xml:space="preserve"> và các tổ chức thành viên</w:t>
      </w:r>
      <w:r>
        <w:rPr>
          <w:sz w:val="28"/>
          <w:szCs w:val="28"/>
        </w:rPr>
        <w:t xml:space="preserve"> tại Trung ương và địa phương.</w:t>
      </w:r>
      <w:r w:rsidRPr="00C00415">
        <w:rPr>
          <w:sz w:val="28"/>
          <w:szCs w:val="28"/>
          <w:lang w:val="vi-VN"/>
        </w:rPr>
        <w:t>.</w:t>
      </w:r>
    </w:p>
    <w:p w:rsidR="00E43E6A" w:rsidRPr="00434AE2" w:rsidRDefault="00E43E6A" w:rsidP="00E43E6A">
      <w:pPr>
        <w:pStyle w:val="normal-p"/>
        <w:spacing w:before="120" w:beforeAutospacing="0" w:after="120" w:afterAutospacing="0" w:line="320" w:lineRule="exact"/>
        <w:ind w:firstLine="567"/>
        <w:jc w:val="both"/>
        <w:rPr>
          <w:sz w:val="28"/>
          <w:szCs w:val="28"/>
          <w:lang w:val="vi-VN"/>
        </w:rPr>
      </w:pPr>
      <w:r w:rsidRPr="004D78D8">
        <w:rPr>
          <w:i/>
          <w:sz w:val="28"/>
          <w:szCs w:val="28"/>
          <w:lang w:val="vi-VN"/>
        </w:rPr>
        <w:t>- Cơ quan tiến hành tố tụng</w:t>
      </w:r>
      <w:r>
        <w:rPr>
          <w:i/>
          <w:sz w:val="28"/>
          <w:szCs w:val="28"/>
        </w:rPr>
        <w:t xml:space="preserve"> </w:t>
      </w:r>
      <w:r>
        <w:rPr>
          <w:sz w:val="28"/>
          <w:szCs w:val="28"/>
        </w:rPr>
        <w:t>bao</w:t>
      </w:r>
      <w:r w:rsidRPr="00434AE2">
        <w:rPr>
          <w:sz w:val="28"/>
          <w:szCs w:val="28"/>
          <w:lang w:val="vi-VN"/>
        </w:rPr>
        <w:t xml:space="preserve"> gồm: Cơ quan điều tra, Viện kiểm sát, </w:t>
      </w:r>
      <w:r>
        <w:rPr>
          <w:sz w:val="28"/>
          <w:szCs w:val="28"/>
        </w:rPr>
        <w:t>T</w:t>
      </w:r>
      <w:r w:rsidRPr="00434AE2">
        <w:rPr>
          <w:sz w:val="28"/>
          <w:szCs w:val="28"/>
          <w:lang w:val="vi-VN"/>
        </w:rPr>
        <w:t>òa án (khoản 1, Điều 33 Bộ luật Tố tụng hình sự)</w:t>
      </w:r>
    </w:p>
    <w:p w:rsidR="00E43E6A" w:rsidRPr="00434AE2" w:rsidRDefault="00E43E6A" w:rsidP="00E43E6A">
      <w:pPr>
        <w:pStyle w:val="normal-p"/>
        <w:spacing w:before="120" w:beforeAutospacing="0" w:after="120" w:afterAutospacing="0" w:line="320" w:lineRule="exact"/>
        <w:ind w:firstLine="567"/>
        <w:jc w:val="both"/>
        <w:rPr>
          <w:sz w:val="28"/>
          <w:szCs w:val="28"/>
          <w:lang w:val="vi-VN"/>
        </w:rPr>
      </w:pPr>
      <w:r w:rsidRPr="004D78D8">
        <w:rPr>
          <w:i/>
          <w:sz w:val="28"/>
          <w:szCs w:val="28"/>
          <w:lang w:val="vi-VN"/>
        </w:rPr>
        <w:t>- Có án tích:</w:t>
      </w:r>
      <w:r w:rsidRPr="00434AE2">
        <w:rPr>
          <w:sz w:val="28"/>
          <w:szCs w:val="28"/>
          <w:lang w:val="vi-VN"/>
        </w:rPr>
        <w:t xml:space="preserve"> Là người đã bị kết án và chưa được xóa án tích.</w:t>
      </w:r>
    </w:p>
    <w:p w:rsidR="00E43E6A" w:rsidRPr="00434AE2" w:rsidRDefault="00E43E6A" w:rsidP="00E43E6A">
      <w:pPr>
        <w:pStyle w:val="normal-p"/>
        <w:spacing w:before="120" w:beforeAutospacing="0" w:after="120" w:afterAutospacing="0" w:line="320" w:lineRule="exact"/>
        <w:ind w:firstLine="567"/>
        <w:jc w:val="both"/>
        <w:rPr>
          <w:sz w:val="28"/>
          <w:szCs w:val="28"/>
          <w:lang w:val="vi-VN"/>
        </w:rPr>
      </w:pPr>
      <w:r w:rsidRPr="004D78D8">
        <w:rPr>
          <w:i/>
          <w:sz w:val="28"/>
          <w:szCs w:val="28"/>
          <w:lang w:val="vi-VN"/>
        </w:rPr>
        <w:t>- Không có án tích:</w:t>
      </w:r>
      <w:r w:rsidRPr="00434AE2">
        <w:rPr>
          <w:sz w:val="28"/>
          <w:szCs w:val="28"/>
          <w:lang w:val="vi-VN"/>
        </w:rPr>
        <w:t xml:space="preserve"> Là người chưa từng bị kết án hoặc đã bị kết án nhưng đã được xóa án tích.</w:t>
      </w:r>
    </w:p>
    <w:p w:rsidR="00E43E6A" w:rsidRPr="00434AE2" w:rsidRDefault="00E43E6A" w:rsidP="00E43E6A">
      <w:pPr>
        <w:spacing w:before="120" w:after="120" w:line="320" w:lineRule="exact"/>
        <w:ind w:firstLine="567"/>
        <w:rPr>
          <w:sz w:val="28"/>
          <w:szCs w:val="28"/>
          <w:lang w:val="vi-VN"/>
        </w:rPr>
      </w:pPr>
      <w:r w:rsidRPr="00434AE2">
        <w:rPr>
          <w:sz w:val="28"/>
          <w:szCs w:val="28"/>
          <w:lang w:val="vi-VN"/>
        </w:rPr>
        <w:t>- Viết tắt: DN: Doanh nghiệp, HTX: Hợp tác xã</w:t>
      </w:r>
    </w:p>
    <w:p w:rsidR="00E43E6A" w:rsidRPr="00434AE2" w:rsidRDefault="00E43E6A" w:rsidP="00E43E6A">
      <w:pPr>
        <w:pStyle w:val="normal-p"/>
        <w:spacing w:before="120" w:beforeAutospacing="0" w:after="120" w:afterAutospacing="0" w:line="320" w:lineRule="exact"/>
        <w:ind w:firstLine="567"/>
        <w:jc w:val="both"/>
        <w:rPr>
          <w:b/>
          <w:sz w:val="28"/>
          <w:szCs w:val="28"/>
          <w:lang w:val="vi-VN"/>
        </w:rPr>
      </w:pPr>
      <w:r w:rsidRPr="00434AE2">
        <w:rPr>
          <w:b/>
          <w:sz w:val="28"/>
          <w:szCs w:val="28"/>
          <w:lang w:val="vi-VN"/>
        </w:rPr>
        <w:t xml:space="preserve">2. Phương pháp tính và cách ghi biểu </w:t>
      </w:r>
    </w:p>
    <w:p w:rsidR="00E43E6A" w:rsidRPr="007E0F77" w:rsidRDefault="00E43E6A" w:rsidP="00E43E6A">
      <w:pPr>
        <w:pStyle w:val="normal-p"/>
        <w:spacing w:before="120" w:beforeAutospacing="0" w:after="120" w:afterAutospacing="0" w:line="320" w:lineRule="exact"/>
        <w:ind w:firstLine="567"/>
        <w:jc w:val="both"/>
        <w:rPr>
          <w:sz w:val="28"/>
          <w:szCs w:val="28"/>
          <w:lang w:val="vi-VN"/>
        </w:rPr>
      </w:pPr>
      <w:r w:rsidRPr="00434AE2">
        <w:rPr>
          <w:sz w:val="28"/>
          <w:szCs w:val="28"/>
          <w:lang w:val="vi-VN"/>
        </w:rPr>
        <w:lastRenderedPageBreak/>
        <w:t xml:space="preserve">- </w:t>
      </w:r>
      <w:r>
        <w:rPr>
          <w:sz w:val="28"/>
          <w:szCs w:val="28"/>
          <w:lang w:val="vi-VN"/>
        </w:rPr>
        <w:t>Cột 1 = Cột (2+3+4) = Cột (5+</w:t>
      </w:r>
      <w:r>
        <w:rPr>
          <w:sz w:val="28"/>
          <w:szCs w:val="28"/>
        </w:rPr>
        <w:t>6)</w:t>
      </w:r>
      <w:r w:rsidRPr="007E0F77">
        <w:rPr>
          <w:sz w:val="28"/>
          <w:szCs w:val="28"/>
          <w:lang w:val="vi-VN"/>
        </w:rPr>
        <w:t>.</w:t>
      </w:r>
    </w:p>
    <w:p w:rsidR="00E43E6A" w:rsidRPr="007E0F77" w:rsidRDefault="00E43E6A" w:rsidP="00E43E6A">
      <w:pPr>
        <w:pStyle w:val="normal-p"/>
        <w:spacing w:before="120" w:beforeAutospacing="0" w:after="120" w:afterAutospacing="0" w:line="320" w:lineRule="exact"/>
        <w:ind w:firstLine="567"/>
        <w:jc w:val="both"/>
        <w:rPr>
          <w:sz w:val="28"/>
          <w:szCs w:val="28"/>
          <w:lang w:val="vi-VN"/>
        </w:rPr>
      </w:pPr>
      <w:r w:rsidRPr="00434AE2">
        <w:rPr>
          <w:sz w:val="28"/>
          <w:szCs w:val="28"/>
          <w:lang w:val="vi-VN"/>
        </w:rPr>
        <w:t>- Cột 7</w:t>
      </w:r>
      <w:r>
        <w:rPr>
          <w:sz w:val="28"/>
          <w:szCs w:val="28"/>
        </w:rPr>
        <w:t xml:space="preserve"> </w:t>
      </w:r>
      <w:r w:rsidRPr="00434AE2">
        <w:rPr>
          <w:sz w:val="28"/>
          <w:szCs w:val="28"/>
          <w:lang w:val="vi-VN"/>
        </w:rPr>
        <w:t>=</w:t>
      </w:r>
      <w:r>
        <w:rPr>
          <w:sz w:val="28"/>
          <w:szCs w:val="28"/>
        </w:rPr>
        <w:t xml:space="preserve"> </w:t>
      </w:r>
      <w:r w:rsidRPr="00434AE2">
        <w:rPr>
          <w:sz w:val="28"/>
          <w:szCs w:val="28"/>
          <w:lang w:val="vi-VN"/>
        </w:rPr>
        <w:t>Cột (8+9)</w:t>
      </w:r>
      <w:r>
        <w:rPr>
          <w:sz w:val="28"/>
          <w:szCs w:val="28"/>
        </w:rPr>
        <w:t xml:space="preserve"> là một phần của cột 1</w:t>
      </w:r>
      <w:r w:rsidRPr="007E0F77">
        <w:rPr>
          <w:sz w:val="28"/>
          <w:szCs w:val="28"/>
          <w:lang w:val="vi-VN"/>
        </w:rPr>
        <w:t>.</w:t>
      </w:r>
    </w:p>
    <w:p w:rsidR="00E43E6A" w:rsidRDefault="00E43E6A" w:rsidP="00E43E6A">
      <w:pPr>
        <w:pStyle w:val="normal-p"/>
        <w:spacing w:before="120" w:beforeAutospacing="0" w:after="120" w:afterAutospacing="0" w:line="320" w:lineRule="exact"/>
        <w:ind w:firstLine="567"/>
        <w:jc w:val="both"/>
        <w:rPr>
          <w:sz w:val="28"/>
          <w:szCs w:val="28"/>
        </w:rPr>
      </w:pPr>
      <w:r w:rsidRPr="00434AE2">
        <w:rPr>
          <w:sz w:val="28"/>
          <w:szCs w:val="28"/>
          <w:lang w:val="vi-VN"/>
        </w:rPr>
        <w:t>- Cột 10 = Cột (11+12</w:t>
      </w:r>
      <w:r>
        <w:rPr>
          <w:sz w:val="28"/>
          <w:szCs w:val="28"/>
        </w:rPr>
        <w:t>+13</w:t>
      </w:r>
      <w:r w:rsidRPr="00434AE2">
        <w:rPr>
          <w:sz w:val="28"/>
          <w:szCs w:val="28"/>
          <w:lang w:val="vi-VN"/>
        </w:rPr>
        <w:t>)</w:t>
      </w:r>
      <w:r>
        <w:rPr>
          <w:sz w:val="28"/>
          <w:szCs w:val="28"/>
        </w:rPr>
        <w:t xml:space="preserve"> = cột (14+15) = cột (16+17)</w:t>
      </w:r>
      <w:r w:rsidRPr="007E0F77">
        <w:rPr>
          <w:sz w:val="28"/>
          <w:szCs w:val="28"/>
          <w:lang w:val="vi-VN"/>
        </w:rPr>
        <w:t>.</w:t>
      </w:r>
    </w:p>
    <w:p w:rsidR="00E43E6A" w:rsidRPr="00265B75" w:rsidRDefault="00E43E6A" w:rsidP="00E43E6A">
      <w:pPr>
        <w:pStyle w:val="normal-p"/>
        <w:spacing w:before="120" w:beforeAutospacing="0" w:after="120" w:afterAutospacing="0" w:line="320" w:lineRule="exact"/>
        <w:ind w:firstLine="567"/>
        <w:jc w:val="both"/>
        <w:rPr>
          <w:sz w:val="28"/>
          <w:szCs w:val="28"/>
        </w:rPr>
      </w:pPr>
      <w:r>
        <w:rPr>
          <w:sz w:val="28"/>
          <w:szCs w:val="28"/>
        </w:rPr>
        <w:t xml:space="preserve">Lưu ý: Cột (7) có thể không bằng cột (1) vì có trường hợp </w:t>
      </w:r>
      <w:r w:rsidRPr="00894524">
        <w:rPr>
          <w:sz w:val="28"/>
          <w:szCs w:val="28"/>
        </w:rPr>
        <w:t xml:space="preserve">cá nhân, cơ quan, tổ chức không có yêu cầu </w:t>
      </w:r>
      <w:r>
        <w:rPr>
          <w:sz w:val="28"/>
          <w:szCs w:val="28"/>
        </w:rPr>
        <w:t>x</w:t>
      </w:r>
      <w:r w:rsidRPr="00265B75">
        <w:rPr>
          <w:sz w:val="28"/>
          <w:szCs w:val="28"/>
        </w:rPr>
        <w:t>ác nhận thông tin về cấm đảm nhiệm chức vụ, thành lập, quản lý DN, HTX</w:t>
      </w:r>
      <w:r>
        <w:rPr>
          <w:sz w:val="28"/>
          <w:szCs w:val="28"/>
        </w:rPr>
        <w:t xml:space="preserve"> </w:t>
      </w:r>
      <w:r w:rsidRPr="00894524">
        <w:rPr>
          <w:sz w:val="28"/>
          <w:szCs w:val="28"/>
        </w:rPr>
        <w:t>thì nội dung này không ghi vào Phiếu lý lịch tư pháp</w:t>
      </w:r>
      <w:r>
        <w:rPr>
          <w:sz w:val="28"/>
          <w:szCs w:val="28"/>
        </w:rPr>
        <w:t xml:space="preserve"> (khoản 3, Điều 42, Luật Lý lịch tư pháp).</w:t>
      </w:r>
    </w:p>
    <w:p w:rsidR="00E43E6A" w:rsidRPr="00434AE2" w:rsidRDefault="00E43E6A" w:rsidP="00E43E6A">
      <w:pPr>
        <w:pStyle w:val="normal-p"/>
        <w:spacing w:before="120" w:beforeAutospacing="0" w:after="120" w:afterAutospacing="0" w:line="320" w:lineRule="exact"/>
        <w:ind w:firstLine="567"/>
        <w:jc w:val="both"/>
        <w:rPr>
          <w:b/>
          <w:sz w:val="28"/>
          <w:szCs w:val="28"/>
          <w:lang w:val="vi-VN"/>
        </w:rPr>
      </w:pPr>
      <w:r w:rsidRPr="00434AE2">
        <w:rPr>
          <w:b/>
          <w:sz w:val="28"/>
          <w:szCs w:val="28"/>
          <w:lang w:val="vi-VN"/>
        </w:rPr>
        <w:t>3. Nguồn số liệu</w:t>
      </w:r>
    </w:p>
    <w:p w:rsidR="00E43E6A" w:rsidRDefault="00E43E6A" w:rsidP="00E43E6A">
      <w:pPr>
        <w:spacing w:before="120" w:after="120" w:line="320" w:lineRule="exact"/>
        <w:ind w:firstLine="567"/>
        <w:rPr>
          <w:sz w:val="28"/>
          <w:szCs w:val="28"/>
          <w:lang w:val="vi-VN"/>
        </w:rPr>
      </w:pPr>
      <w:r w:rsidRPr="00434AE2">
        <w:rPr>
          <w:sz w:val="28"/>
          <w:szCs w:val="28"/>
          <w:lang w:val="vi-VN"/>
        </w:rPr>
        <w:t>- Từ Sổ cấp Phiếu lý lịch tư pháp tại Sở Tư pháp</w:t>
      </w:r>
      <w:r>
        <w:rPr>
          <w:sz w:val="28"/>
          <w:szCs w:val="28"/>
        </w:rPr>
        <w:t>/Trung tâm Lý lịch tư pháp quốc gia</w:t>
      </w:r>
      <w:r w:rsidRPr="00434AE2">
        <w:rPr>
          <w:sz w:val="28"/>
          <w:szCs w:val="28"/>
          <w:lang w:val="vi-VN"/>
        </w:rPr>
        <w:t>.</w:t>
      </w:r>
    </w:p>
    <w:p w:rsidR="00A6658C" w:rsidRDefault="00A6658C" w:rsidP="00E43E6A">
      <w:bookmarkStart w:id="0" w:name="_GoBack"/>
      <w:bookmarkEnd w:id="0"/>
    </w:p>
    <w:sectPr w:rsidR="00A6658C" w:rsidSect="00E43E6A">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E6A"/>
    <w:rsid w:val="005116EA"/>
    <w:rsid w:val="0059118F"/>
    <w:rsid w:val="00A6658C"/>
    <w:rsid w:val="00C21C89"/>
    <w:rsid w:val="00E4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9B7BD-78DB-4E9D-AD81-4AE11E27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E6A"/>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 w:type="character" w:customStyle="1" w:styleId="normal-h">
    <w:name w:val="normal-h"/>
    <w:basedOn w:val="DefaultParagraphFont"/>
    <w:rsid w:val="00E43E6A"/>
  </w:style>
  <w:style w:type="paragraph" w:customStyle="1" w:styleId="normal-p">
    <w:name w:val="normal-p"/>
    <w:basedOn w:val="Normal"/>
    <w:rsid w:val="00E43E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341395-8DC1-4AC6-87E9-49A3C68937F7}"/>
</file>

<file path=customXml/itemProps2.xml><?xml version="1.0" encoding="utf-8"?>
<ds:datastoreItem xmlns:ds="http://schemas.openxmlformats.org/officeDocument/2006/customXml" ds:itemID="{D83B507B-76B1-4231-906E-2617AA6B0077}"/>
</file>

<file path=customXml/itemProps3.xml><?xml version="1.0" encoding="utf-8"?>
<ds:datastoreItem xmlns:ds="http://schemas.openxmlformats.org/officeDocument/2006/customXml" ds:itemID="{50D10157-D9FA-4F48-902F-FF84AAB19A28}"/>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1916</Characters>
  <Application>Microsoft Office Word</Application>
  <DocSecurity>0</DocSecurity>
  <Lines>15</Lines>
  <Paragraphs>4</Paragraphs>
  <ScaleCrop>false</ScaleCrop>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2016-05-06T11:17:00Z</dcterms:created>
  <dcterms:modified xsi:type="dcterms:W3CDTF">2016-05-06T11:17:00Z</dcterms:modified>
</cp:coreProperties>
</file>